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自己評価・外部評価・運営推進会議活用ツール</w:t>
      </w:r>
      <w:bookmarkStart w:id="0" w:name="_GoBack"/>
      <w:bookmarkEnd w:id="0"/>
    </w:p>
    <w:tbl>
      <w:tblPr>
        <w:tblStyle w:val="11"/>
        <w:tblW w:w="14002" w:type="dxa"/>
        <w:tblInd w:w="0" w:type="dxa"/>
        <w:tblLayout w:type="fixed"/>
        <w:tblCellMar>
          <w:left w:w="99" w:type="dxa"/>
          <w:right w:w="99" w:type="dxa"/>
        </w:tblCellMar>
        <w:tblLook w:firstRow="1" w:lastRow="0" w:firstColumn="1" w:lastColumn="0" w:noHBand="0" w:noVBand="1" w:val="04A0"/>
      </w:tblPr>
      <w:tblGrid>
        <w:gridCol w:w="478"/>
        <w:gridCol w:w="966"/>
        <w:gridCol w:w="2093"/>
        <w:gridCol w:w="2093"/>
        <w:gridCol w:w="2093"/>
        <w:gridCol w:w="2093"/>
        <w:gridCol w:w="2093"/>
        <w:gridCol w:w="2093"/>
      </w:tblGrid>
      <w:tr>
        <w:trPr>
          <w:trHeight w:val="35" w:hRule="atLeast"/>
          <w:tblHeader/>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snapToGrid w:val="0"/>
              <w:jc w:val="center"/>
              <w:rPr>
                <w:rFonts w:hint="default"/>
              </w:rPr>
            </w:pPr>
            <w:bookmarkStart w:id="1" w:name="RANGE!A1:I54"/>
            <w:bookmarkStart w:id="2" w:name="OLE_LINK1"/>
            <w:r>
              <w:rPr>
                <w:rFonts w:hint="eastAsia"/>
              </w:rPr>
              <w:t>№</w:t>
            </w:r>
            <w:bookmarkEnd w:id="1"/>
            <w:bookmarkEnd w:id="2"/>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snapToGrid w:val="0"/>
              <w:jc w:val="center"/>
              <w:rPr>
                <w:rFonts w:hint="default"/>
              </w:rPr>
            </w:pPr>
            <w:r>
              <w:rPr>
                <w:rFonts w:hint="eastAsia"/>
              </w:rPr>
              <w:t>タイトル</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snapToGrid w:val="0"/>
              <w:jc w:val="center"/>
              <w:rPr>
                <w:rFonts w:hint="default"/>
              </w:rPr>
            </w:pPr>
            <w:r>
              <w:rPr>
                <w:rFonts w:hint="eastAsia"/>
              </w:rPr>
              <w:t>評価項目</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snapToGrid w:val="0"/>
              <w:jc w:val="center"/>
              <w:rPr>
                <w:rFonts w:hint="default"/>
              </w:rPr>
            </w:pPr>
            <w:r>
              <w:rPr>
                <w:rFonts w:hint="eastAsia"/>
              </w:rPr>
              <w:t>自己評価</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snapToGrid w:val="0"/>
              <w:jc w:val="center"/>
              <w:rPr>
                <w:rFonts w:hint="default"/>
              </w:rPr>
            </w:pPr>
            <w:r>
              <w:rPr>
                <w:rFonts w:hint="eastAsia"/>
              </w:rPr>
              <w:t>記述</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snapToGrid w:val="0"/>
              <w:jc w:val="center"/>
              <w:rPr>
                <w:rFonts w:hint="default"/>
              </w:rPr>
            </w:pPr>
            <w:r>
              <w:rPr>
                <w:rFonts w:hint="eastAsia"/>
              </w:rPr>
              <w:t>運営推進会議で話しあった内容</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snapToGrid w:val="0"/>
              <w:jc w:val="center"/>
              <w:rPr>
                <w:rFonts w:hint="default"/>
              </w:rPr>
            </w:pPr>
            <w:r>
              <w:rPr>
                <w:rFonts w:hint="eastAsia"/>
              </w:rPr>
              <w:t>外部評価</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snapToGrid w:val="0"/>
              <w:jc w:val="center"/>
              <w:rPr>
                <w:rFonts w:hint="default"/>
              </w:rPr>
            </w:pPr>
            <w:r>
              <w:rPr>
                <w:rFonts w:hint="eastAsia"/>
              </w:rPr>
              <w:t>記述</w:t>
            </w:r>
          </w:p>
        </w:tc>
      </w:tr>
      <w:tr>
        <w:trPr>
          <w:trHeight w:val="35" w:hRule="atLeast"/>
        </w:trPr>
        <w:tc>
          <w:tcPr>
            <w:tcW w:w="56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r>
              <w:rPr>
                <w:rFonts w:hint="eastAsia"/>
              </w:rPr>
              <w:t>Ⅰ</w:t>
            </w:r>
            <w:r>
              <w:rPr>
                <w:rFonts w:hint="eastAsia"/>
              </w:rPr>
              <w:t>.</w:t>
            </w:r>
            <w:r>
              <w:rPr>
                <w:rFonts w:hint="eastAsia"/>
              </w:rPr>
              <w:t>理念・安心と安全に基づく運営</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理念の共有と実践</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地域密着型サービスの意義をふまえた事業所理念をつくり、管理者と職員は、その理念を共有して実践につなげている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86"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事業所と地域とのつきあい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事業所は、利用者が地域とつながりながら暮らし続けられるよう、認知症の人の理解や支援の方法などを共有し、事業所自体が地域の一員として日常的に交流している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171"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運営推進会議を活かした取り組み</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運営推進会議では、利用者やサービスの実際、評価への取り組み状況等について報告や話し合いを行い、そこでの意見をサービス向上に活かしている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市町村との連携</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市町村担当者と日頃から連絡を密に取り、事業所の実情やケアサービスの取り組みを積極的に伝えながら、協力関係を築くように取り組んでいる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1599"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5</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身体拘束をしないケアの実践</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代表者および全ての職員が「介護保険法指定基準における禁止の対象となる具体的な行為」を正しく理解しており、玄関の施錠を含めて身体拘束をしないケアに取り組んでいる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1599"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6</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虐待の防止の徹底</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管理者や職員は、高齢者虐待防止関連法について学ぶ機会を持ち、利用者の自宅や事業所内での虐待が見過ごされることがないよう注意を払い、防止に努めている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530"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7</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権利擁護に関する制度の理解と活用</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管理者や職員は、日常生活自立支援事業や成年後見制度について学ぶ機会を持ち、個々の必要性を関係者と話し合い、それらを活用できるよう支援している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697"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8</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契約に関する説明と納得</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契約の締結、解約また改定等の際は、利用者や家族等の不安や疑問点を尋ね、十分な説明を行い理解・納得を図っている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177"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9</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運営に関する利用者、家族等意見の反映</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利用者や家族等が意見、要望を管理者や職員ならびに外部者へ表せる機会を設け、それらを運営に反映させている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10</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運営に関する職員意見の反映</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代表者や管理者は、運営に関する職員の意見や提案を聞く機会を設け、反映させている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1599"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11</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就業環境の整備</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代表者は、管理者や職員個々の努力や実績、勤務状況を把握し、給与水準、労働時間、やりがいなど、各自が向上心を持って働けるよう職場環境・条件の整備に努めている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1599"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12</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職員を育てる取り組み</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代表者は、管理者や職員一人ひとりのケアの実際と力量を把握し、法人内外の研修を受ける機会の確保や、働きながらトレーニングしていくことを進めている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697"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13</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同業者との交流を通じた向上</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代表者は、管理者や職員が同業者と交流する機会を作り、ネットワークづくりや勉強会、相互訪問等の活動を通じて、サービスの質を向上させていく取り組みをしている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14</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本人と共に過ごし支えあう関係</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職員は、本人を介護される一方の立場におかず、暮らしを共にする者同士の関係を築いている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15</w:t>
            </w:r>
          </w:p>
        </w:tc>
        <w:tc>
          <w:tcPr>
            <w:tcW w:w="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馴染みの人や場との関係継続の支援</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本人がこれまで大切にしてきた馴染みの人や場所との関係が途切れないよう、支援に努めている</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56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r>
              <w:rPr>
                <w:rFonts w:hint="eastAsia"/>
              </w:rPr>
              <w:t>Ⅱ．その人らしい暮らしを続けるためのケアマネジメント</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000000" w:fill="000000"/>
            <w:vAlign w:val="top"/>
          </w:tcPr>
          <w:p>
            <w:pPr>
              <w:pStyle w:val="0"/>
              <w:snapToGrid w:val="0"/>
              <w:jc w:val="both"/>
              <w:rPr>
                <w:rFonts w:hint="default"/>
              </w:rPr>
            </w:pPr>
          </w:p>
        </w:tc>
      </w:tr>
      <w:tr>
        <w:trPr>
          <w:trHeight w:val="242"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16</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思いや意向の把握</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一人ひとりの思いや暮らし方、生活環境、一日の過ごし方の希望や意向の把握に努めている。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932"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17</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チームでつくる介護計画とモニタリング</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本人がより良く暮らすための課題とケアのあり方について、本人、家族、必要な関係者と話し合い、それぞれの意見やアイディアを反映し、現状に即した介護計画を作成している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61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18</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個別の記録と実践への反映</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日々の様子やケアの実践・結果、気づきや工夫を個別記録に記入し、職員間で情報を共有しながら実践や介護計画の見直しに活かしている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337"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19</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一人ひとりを支えるための事業所の多機能化</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本人や家族の状況、その時々に生まれるニーズに対応して、既存のサービスに捉われない、柔軟な支援やサービスの多機能化に取り組んでいる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543"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20</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地域資源との協働</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一人ひとりの暮らしを支えている地域資源を把握し、本人が心身の力を発揮しながら安全で豊かな暮らしを楽しむことができるよう支援している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21</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かかりつけ医の受診支援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受診は、本人及び家族等の希望を大切にし、納得が得られたかかりつけ医と事業所の関係を築きながら、適切な医療を受けられるように支援している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2820"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22</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入退院時の医療機関との協働</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648"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23</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重度化や終末期に向けた方針の共有と支援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24</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急変や事故発生時の備え</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利用者の急変や事故発生時に備えて、全ての職員は応急手当や初期対応の訓練を定期的に行い、実践力を身に付けている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218"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25</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災害対策</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火災や地震、水害等の災害時に、昼夜を問わず利用者が避難できる方法を全職員が身につけるとともに、地域との協力体制を築いている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56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r>
              <w:rPr>
                <w:rFonts w:hint="eastAsia"/>
              </w:rPr>
              <w:t>Ⅲ．その人らしい暮らしを続けるための日々の支援</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r>
      <w:tr>
        <w:trPr>
          <w:trHeight w:val="1640"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26</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一人ひとりの尊重とプライバシーの確保</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一人ひとりの人格を尊重し、誇りやプライバシーを損ねない言葉かけや対応をしている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2106"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27</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日々のその人らしい暮らし</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職員側の決まりや都合を優先するのではなく、一人ひとりの日常生活における希望や意向、暮らしのペースを大切にし、その日をどのように過ごしたいか、希望にそって支援している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167"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28</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食事を楽しむことのできる支援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食事が楽しみなものになるよう、一人ひとりの好みや力を活かしながら、利用者と職員が一緒に準備や食事、片付けをしている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409"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29</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栄養摂取や水分確保の支援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食べる量や栄養バランス、水分量が一日を通じて確保できるよう、一人ひとりの状態や力、習慣に応じた支援をしている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18"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30</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口腔内の清潔保持</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口の中の汚れや臭いが生じないよう、毎食後、一人ひとりの口腔状態や本人の力に応じた口腔ケアをしている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327"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31</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排泄の自立支援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排泄の失敗やおむつの使用を減らし、一人ひとりの力や排泄のパターン、習慣を活かして、トイレでの排泄や排泄の自立にむけた支援、便秘の予防等、個々に応じた予防に取り組んでいる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260"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32</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入浴を楽しむことができる支援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一人ひとりの希望やタイミングに合わせて入浴を楽しめるように、職員の都合で曜日や時間帯を決めてしまわずに、個々にそった支援をしている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1640"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33</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安眠や休息の支援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一人ひとりの生活習慣やその時々の状況に応じて、休息したり、安心して気持ちよく眠れるよう支援している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34</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服薬支援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一人ひとりが使用している薬の目的や副作用、用法や用量について理解しており、服薬の支援と症状の変化の確認に努めている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484"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35</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役割、楽しみごとの支援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張り合いや喜びのある日々を過ごせるように、一人ひとりの生活歴や力を活かした役割、嗜好品、楽しみごと、気分転換等の支援をしている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932"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36</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日常的な外出支援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147"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w:t>
            </w:r>
            <w:r>
              <w:rPr>
                <w:rFonts w:hint="default"/>
              </w:rPr>
              <w:t>7</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お金の所持や使うことの支援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職員は、本人がお金を持つことの大切さを理解しており、一人ひとりの希望や力に応じて、お金を所持したり使えるように支援している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2352"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38</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電話や手紙の支援</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家族や大切な人に本人自らが電話をしたり、手紙のやり取りができるように支援をしている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122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39</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居心地のよい共用空間づくり</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56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r>
              <w:rPr>
                <w:rFonts w:hint="eastAsia"/>
              </w:rPr>
              <w:t>Ⅳ．本人暮らしの状況把握・確認項目（利用者一人ひとりの確認項目）</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000000" w:fill="000000"/>
            <w:vAlign w:val="top"/>
          </w:tcPr>
          <w:p>
            <w:pPr>
              <w:pStyle w:val="0"/>
              <w:snapToGrid w:val="0"/>
              <w:jc w:val="both"/>
              <w:rPr>
                <w:rFonts w:hint="default"/>
              </w:rPr>
            </w:pPr>
          </w:p>
        </w:tc>
      </w:tr>
      <w:tr>
        <w:trPr>
          <w:trHeight w:val="484"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40</w:t>
            </w:r>
          </w:p>
        </w:tc>
        <w:tc>
          <w:tcPr>
            <w:tcW w:w="9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本人主体の暮らし</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本人は、自分の思い、願い、日々の暮らし方の意向に沿った暮らしができている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41</w:t>
            </w:r>
          </w:p>
        </w:tc>
        <w:tc>
          <w:tcPr>
            <w:tcW w:w="9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本人は、自分の生活歴や友人関係、暮らしの習慣、特徴など様々な情報をもとに、ケア・支援を受けることができている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291"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42</w:t>
            </w:r>
          </w:p>
        </w:tc>
        <w:tc>
          <w:tcPr>
            <w:tcW w:w="9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本人は、自分の健康面・医療面・安全面・環境面について、日々の状況をもとに、ケア・支援を受けることができている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r>
      <w:tr>
        <w:trPr>
          <w:trHeight w:val="134"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43</w:t>
            </w:r>
          </w:p>
        </w:tc>
        <w:tc>
          <w:tcPr>
            <w:tcW w:w="9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生活の継続性</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本人は、自分のペースで、これまでの暮らしの習慣にあった生活ができている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1163"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44</w:t>
            </w:r>
          </w:p>
        </w:tc>
        <w:tc>
          <w:tcPr>
            <w:tcW w:w="9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本人は、自分のなじみのものや、大切にしているものを、身近（自室等）に持つことができている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45</w:t>
            </w:r>
          </w:p>
        </w:tc>
        <w:tc>
          <w:tcPr>
            <w:tcW w:w="9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本人は、自分の意向、希望によって、戸外に出かけることや、催（祭）事に参加することができている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46</w:t>
            </w:r>
          </w:p>
        </w:tc>
        <w:tc>
          <w:tcPr>
            <w:tcW w:w="9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本人が持つ力の活用</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本人は、自分ができること・できないこと、わかること・わからないことを踏まえた、役割や、楽しみごとを行うことができている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47</w:t>
            </w:r>
          </w:p>
        </w:tc>
        <w:tc>
          <w:tcPr>
            <w:tcW w:w="9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本人は、自分がいきいきと過ごす会話のひと時や、活動場面を日々の暮らしの中で得ることができている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48</w:t>
            </w:r>
          </w:p>
        </w:tc>
        <w:tc>
          <w:tcPr>
            <w:tcW w:w="9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本人は、自分なりに近隣や地域の人々と関わったり、交流することができている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r>
        <w:trPr>
          <w:trHeight w:val="35" w:hRule="atLeast"/>
        </w:trPr>
        <w:tc>
          <w:tcPr>
            <w:tcW w:w="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49</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総合</w:t>
            </w:r>
          </w:p>
        </w:tc>
        <w:tc>
          <w:tcPr>
            <w:tcW w:w="20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r>
              <w:rPr>
                <w:rFonts w:hint="eastAsia"/>
              </w:rPr>
              <w:t>本人は、この</w:t>
            </w:r>
            <w:r>
              <w:rPr>
                <w:rFonts w:hint="eastAsia"/>
              </w:rPr>
              <w:t>GH</w:t>
            </w:r>
            <w:r>
              <w:rPr>
                <w:rFonts w:hint="eastAsia"/>
              </w:rPr>
              <w:t>にいることで、職員や地域の人々と親しみ、安心の日々、よりよい日々をおくることができている</w:t>
            </w: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nil"/>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p>
        </w:tc>
        <w:tc>
          <w:tcPr>
            <w:tcW w:w="209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snapToGrid w:val="0"/>
              <w:jc w:val="both"/>
              <w:rPr>
                <w:rFonts w:hint="default"/>
              </w:rPr>
            </w:pPr>
            <w:r>
              <w:rPr>
                <w:rFonts w:hint="eastAsia"/>
              </w:rPr>
              <w:t>A</w:t>
            </w:r>
            <w:r>
              <w:rPr>
                <w:rFonts w:hint="eastAsia"/>
              </w:rPr>
              <w:t>．充分にできている</w:t>
            </w:r>
            <w:r>
              <w:rPr>
                <w:rFonts w:hint="eastAsia"/>
              </w:rPr>
              <w:br w:type="textWrapping" w:clear="none"/>
            </w:r>
            <w:r>
              <w:rPr>
                <w:rFonts w:hint="eastAsia"/>
              </w:rPr>
              <w:t>B</w:t>
            </w:r>
            <w:r>
              <w:rPr>
                <w:rFonts w:hint="eastAsia"/>
              </w:rPr>
              <w:t>．ほぼできている</w:t>
            </w:r>
            <w:r>
              <w:rPr>
                <w:rFonts w:hint="eastAsia"/>
              </w:rPr>
              <w:br w:type="textWrapping" w:clear="none"/>
            </w:r>
            <w:r>
              <w:rPr>
                <w:rFonts w:hint="eastAsia"/>
              </w:rPr>
              <w:t>C</w:t>
            </w:r>
            <w:r>
              <w:rPr>
                <w:rFonts w:hint="eastAsia"/>
              </w:rPr>
              <w:t>．あまりできていない</w:t>
            </w:r>
            <w:r>
              <w:rPr>
                <w:rFonts w:hint="eastAsia"/>
              </w:rPr>
              <w:br w:type="textWrapping" w:clear="none"/>
            </w:r>
            <w:r>
              <w:rPr>
                <w:rFonts w:hint="eastAsia"/>
              </w:rPr>
              <w:t>D</w:t>
            </w:r>
            <w:r>
              <w:rPr>
                <w:rFonts w:hint="eastAsia"/>
              </w:rPr>
              <w:t>．ほとんどできていない</w:t>
            </w:r>
          </w:p>
        </w:tc>
        <w:tc>
          <w:tcPr>
            <w:tcW w:w="209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jc w:val="both"/>
              <w:rPr>
                <w:rFonts w:hint="default"/>
              </w:rPr>
            </w:pPr>
          </w:p>
        </w:tc>
      </w:tr>
    </w:tbl>
    <w:p>
      <w:pPr>
        <w:pStyle w:val="0"/>
        <w:jc w:val="left"/>
        <w:rPr>
          <w:rFonts w:hint="default"/>
        </w:rPr>
      </w:pPr>
    </w:p>
    <w:sectPr>
      <w:headerReference r:id="rId7" w:type="default"/>
      <w:footerReference r:id="rId9" w:type="default"/>
      <w:headerReference r:id="rId6" w:type="first"/>
      <w:footerReference r:id="rId8" w:type="first"/>
      <w:pgSz w:w="16838" w:h="11906" w:orient="landscape"/>
      <w:pgMar w:top="1417" w:right="1417" w:bottom="1417" w:left="1417" w:header="851" w:footer="567" w:gutter="0"/>
      <w:pgNumType w:fmt="numberInDash"/>
      <w:cols w:space="720"/>
      <w:titlePg w:val="1"/>
      <w:textDirection w:val="lrTb"/>
      <w:docGrid w:type="linesAndChars" w:linePitch="245"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52"/>
            <w:rFonts w:hint="eastAsia"/>
          </w:rPr>
          <w:t>- 1 -</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（別紙２の２）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147CBC"/>
    <w:lvl w:ilvl="0" w:tplc="A5F4ECC4">
      <w:numFmt w:val="bullet"/>
      <w:pStyle w:val="37"/>
      <w:lvlText w:val="○"/>
      <w:lvlJc w:val="left"/>
      <w:pPr>
        <w:ind w:left="1096" w:hanging="360"/>
      </w:pPr>
      <w:rPr>
        <w:rFonts w:hint="eastAsia" w:ascii="ＭＳ 明朝" w:hAnsi="ＭＳ 明朝" w:eastAsia="ＭＳ 明朝"/>
      </w:rPr>
    </w:lvl>
    <w:lvl w:ilvl="1" w:tplc="0409000B">
      <w:numFmt w:val="bullet"/>
      <w:lvlText w:val=""/>
      <w:lvlJc w:val="left"/>
      <w:pPr>
        <w:ind w:left="1576" w:hanging="420"/>
      </w:pPr>
      <w:rPr>
        <w:rFonts w:hint="default" w:ascii="Wingdings" w:hAnsi="Wingdings"/>
      </w:rPr>
    </w:lvl>
    <w:lvl w:ilvl="2" w:tplc="0409000D">
      <w:numFmt w:val="bullet"/>
      <w:lvlText w:val=""/>
      <w:lvlJc w:val="left"/>
      <w:pPr>
        <w:ind w:left="1996" w:hanging="420"/>
      </w:pPr>
      <w:rPr>
        <w:rFonts w:hint="default" w:ascii="Wingdings" w:hAnsi="Wingdings"/>
      </w:rPr>
    </w:lvl>
    <w:lvl w:ilvl="3" w:tplc="04090001">
      <w:numFmt w:val="bullet"/>
      <w:lvlText w:val=""/>
      <w:lvlJc w:val="left"/>
      <w:pPr>
        <w:ind w:left="2416" w:hanging="420"/>
      </w:pPr>
      <w:rPr>
        <w:rFonts w:hint="default" w:ascii="Wingdings" w:hAnsi="Wingdings"/>
      </w:rPr>
    </w:lvl>
    <w:lvl w:ilvl="4" w:tplc="0409000B">
      <w:numFmt w:val="bullet"/>
      <w:lvlText w:val=""/>
      <w:lvlJc w:val="left"/>
      <w:pPr>
        <w:ind w:left="2836" w:hanging="420"/>
      </w:pPr>
      <w:rPr>
        <w:rFonts w:hint="default" w:ascii="Wingdings" w:hAnsi="Wingdings"/>
      </w:rPr>
    </w:lvl>
    <w:lvl w:ilvl="5" w:tplc="0409000D">
      <w:numFmt w:val="bullet"/>
      <w:lvlText w:val=""/>
      <w:lvlJc w:val="left"/>
      <w:pPr>
        <w:ind w:left="3256" w:hanging="420"/>
      </w:pPr>
      <w:rPr>
        <w:rFonts w:hint="default" w:ascii="Wingdings" w:hAnsi="Wingdings"/>
      </w:rPr>
    </w:lvl>
    <w:lvl w:ilvl="6" w:tplc="04090001">
      <w:numFmt w:val="bullet"/>
      <w:lvlText w:val=""/>
      <w:lvlJc w:val="left"/>
      <w:pPr>
        <w:ind w:left="3676" w:hanging="420"/>
      </w:pPr>
      <w:rPr>
        <w:rFonts w:hint="default" w:ascii="Wingdings" w:hAnsi="Wingdings"/>
      </w:rPr>
    </w:lvl>
    <w:lvl w:ilvl="7" w:tplc="0409000B">
      <w:numFmt w:val="bullet"/>
      <w:lvlText w:val=""/>
      <w:lvlJc w:val="left"/>
      <w:pPr>
        <w:ind w:left="4096" w:hanging="420"/>
      </w:pPr>
      <w:rPr>
        <w:rFonts w:hint="default" w:ascii="Wingdings" w:hAnsi="Wingdings"/>
      </w:rPr>
    </w:lvl>
    <w:lvl w:ilvl="8" w:tplc="0409000D">
      <w:numFmt w:val="bullet"/>
      <w:lvlText w:val=""/>
      <w:lvlJc w:val="left"/>
      <w:pPr>
        <w:ind w:left="451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1"/>
  <w:drawingGridVerticalSpacing w:val="12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BIZ UD明朝 Medium" w:hAnsi="BIZ UD明朝 Medium" w:eastAsia="BIZ UD明朝 Medium"/>
      <w:sz w:val="18"/>
    </w:rPr>
  </w:style>
  <w:style w:type="paragraph" w:styleId="1">
    <w:name w:val="heading 1"/>
    <w:basedOn w:val="0"/>
    <w:next w:val="0"/>
    <w:link w:val="4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after="120" w:afterLines="0" w:afterAutospacing="0" w:line="273" w:lineRule="exact"/>
      <w:jc w:val="both"/>
    </w:pPr>
    <w:rPr>
      <w:rFonts w:ascii="Century" w:hAnsi="Century" w:eastAsia="ＭＳ 明朝"/>
      <w:spacing w:val="-1"/>
      <w:kern w:val="0"/>
      <w:sz w:val="22"/>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basedOn w:val="10"/>
    <w:next w:val="21"/>
    <w:link w:val="20"/>
    <w:uiPriority w:val="0"/>
    <w:rPr>
      <w:rFonts w:ascii="ＭＳ ゴシック" w:hAnsi="ＭＳ ゴシック" w:eastAsia="ＭＳ ゴシック"/>
      <w:sz w:val="20"/>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u w:val="single" w:color="auto"/>
    </w:rPr>
  </w:style>
  <w:style w:type="character" w:styleId="31" w:customStyle="1">
    <w:name w:val="スタイル12 Char"/>
    <w:basedOn w:val="10"/>
    <w:next w:val="31"/>
    <w:link w:val="32"/>
    <w:uiPriority w:val="0"/>
  </w:style>
  <w:style w:type="paragraph" w:styleId="32" w:customStyle="1">
    <w:name w:val="スタイル12"/>
    <w:basedOn w:val="0"/>
    <w:next w:val="32"/>
    <w:link w:val="31"/>
    <w:uiPriority w:val="0"/>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name w:val="Revision"/>
    <w:next w:val="34"/>
    <w:link w:val="0"/>
    <w:uiPriority w:val="0"/>
    <w:rPr/>
  </w:style>
  <w:style w:type="paragraph" w:styleId="35" w:customStyle="1">
    <w:name w:val="スタイル1"/>
    <w:basedOn w:val="0"/>
    <w:next w:val="35"/>
    <w:link w:val="36"/>
    <w:uiPriority w:val="0"/>
    <w:qFormat/>
    <w:pPr>
      <w:keepNext w:val="1"/>
      <w:spacing w:before="120" w:beforeLines="0" w:beforeAutospacing="0" w:after="120" w:afterLines="0" w:afterAutospacing="0"/>
      <w:ind w:left="465" w:leftChars="100" w:right="210" w:rightChars="100" w:hanging="255" w:hangingChars="121"/>
      <w:jc w:val="left"/>
      <w:outlineLvl w:val="1"/>
    </w:pPr>
    <w:rPr>
      <w:rFonts w:ascii="ＭＳ 明朝" w:hAnsi="ＭＳ 明朝" w:eastAsia="ＭＳ 明朝"/>
      <w:b w:val="1"/>
    </w:rPr>
  </w:style>
  <w:style w:type="character" w:styleId="36" w:customStyle="1">
    <w:name w:val="スタイル1 (文字)"/>
    <w:basedOn w:val="10"/>
    <w:next w:val="36"/>
    <w:link w:val="35"/>
    <w:uiPriority w:val="0"/>
    <w:rPr>
      <w:rFonts w:ascii="ＭＳ 明朝" w:hAnsi="ＭＳ 明朝" w:eastAsia="ＭＳ 明朝"/>
      <w:b w:val="1"/>
    </w:rPr>
  </w:style>
  <w:style w:type="paragraph" w:styleId="37" w:customStyle="1">
    <w:name w:val="スタイル5"/>
    <w:basedOn w:val="0"/>
    <w:next w:val="37"/>
    <w:link w:val="39"/>
    <w:uiPriority w:val="0"/>
    <w:qFormat/>
    <w:pPr>
      <w:numPr>
        <w:ilvl w:val="0"/>
        <w:numId w:val="1"/>
      </w:numPr>
      <w:spacing w:before="240" w:beforeLines="0" w:beforeAutospacing="0" w:line="400" w:lineRule="exact"/>
      <w:jc w:val="left"/>
    </w:pPr>
    <w:rPr>
      <w:rFonts w:ascii="ＭＳ 明朝" w:hAnsi="ＭＳ 明朝" w:eastAsia="ＭＳ 明朝"/>
      <w:sz w:val="22"/>
    </w:rPr>
  </w:style>
  <w:style w:type="paragraph" w:styleId="38" w:customStyle="1">
    <w:name w:val="考察見出し"/>
    <w:basedOn w:val="0"/>
    <w:next w:val="38"/>
    <w:link w:val="41"/>
    <w:uiPriority w:val="0"/>
    <w:qFormat/>
    <w:pPr>
      <w:keepNext w:val="1"/>
      <w:spacing w:before="120" w:beforeLines="0" w:beforeAutospacing="0" w:after="120" w:afterLines="0" w:afterAutospacing="0"/>
      <w:ind w:left="100" w:leftChars="100" w:right="100" w:rightChars="100" w:hanging="121" w:hangingChars="121"/>
      <w:jc w:val="left"/>
      <w:outlineLvl w:val="1"/>
    </w:pPr>
    <w:rPr>
      <w:rFonts w:ascii="ＭＳ Ｐゴシック" w:hAnsi="ＭＳ Ｐゴシック" w:eastAsia="ＭＳ Ｐゴシック"/>
      <w:b w:val="1"/>
    </w:rPr>
  </w:style>
  <w:style w:type="character" w:styleId="39" w:customStyle="1">
    <w:name w:val="スタイル5 (文字)"/>
    <w:basedOn w:val="10"/>
    <w:next w:val="39"/>
    <w:link w:val="37"/>
    <w:uiPriority w:val="0"/>
    <w:rPr>
      <w:rFonts w:ascii="ＭＳ 明朝" w:hAnsi="ＭＳ 明朝" w:eastAsia="ＭＳ 明朝"/>
      <w:sz w:val="22"/>
    </w:rPr>
  </w:style>
  <w:style w:type="paragraph" w:styleId="40" w:customStyle="1">
    <w:name w:val="スタイル4"/>
    <w:basedOn w:val="37"/>
    <w:next w:val="40"/>
    <w:link w:val="43"/>
    <w:uiPriority w:val="0"/>
    <w:qFormat/>
  </w:style>
  <w:style w:type="character" w:styleId="41" w:customStyle="1">
    <w:name w:val="考察見出し (文字)"/>
    <w:basedOn w:val="10"/>
    <w:next w:val="41"/>
    <w:link w:val="38"/>
    <w:uiPriority w:val="0"/>
    <w:rPr>
      <w:rFonts w:ascii="ＭＳ Ｐゴシック" w:hAnsi="ＭＳ Ｐゴシック" w:eastAsia="ＭＳ Ｐゴシック"/>
      <w:b w:val="1"/>
    </w:rPr>
  </w:style>
  <w:style w:type="paragraph" w:styleId="42" w:customStyle="1">
    <w:name w:val="スタイル6"/>
    <w:basedOn w:val="1"/>
    <w:next w:val="42"/>
    <w:link w:val="44"/>
    <w:uiPriority w:val="0"/>
    <w:qFormat/>
    <w:pPr>
      <w:jc w:val="left"/>
    </w:pPr>
    <w:rPr>
      <w:rFonts w:eastAsia="ＭＳ 明朝"/>
      <w:b w:val="1"/>
      <w:sz w:val="32"/>
    </w:rPr>
  </w:style>
  <w:style w:type="character" w:styleId="43" w:customStyle="1">
    <w:name w:val="スタイル4 (文字)"/>
    <w:basedOn w:val="39"/>
    <w:next w:val="43"/>
    <w:link w:val="40"/>
    <w:uiPriority w:val="0"/>
    <w:rPr>
      <w:rFonts w:ascii="ＭＳ 明朝" w:hAnsi="ＭＳ 明朝" w:eastAsia="ＭＳ 明朝"/>
      <w:sz w:val="22"/>
    </w:rPr>
  </w:style>
  <w:style w:type="character" w:styleId="44" w:customStyle="1">
    <w:name w:val="スタイル6 (文字)"/>
    <w:basedOn w:val="45"/>
    <w:next w:val="44"/>
    <w:link w:val="42"/>
    <w:uiPriority w:val="0"/>
    <w:rPr>
      <w:rFonts w:eastAsia="ＭＳ 明朝" w:asciiTheme="majorHAnsi" w:hAnsiTheme="majorHAnsi"/>
      <w:b w:val="1"/>
      <w:sz w:val="32"/>
    </w:rPr>
  </w:style>
  <w:style w:type="character" w:styleId="45" w:customStyle="1">
    <w:name w:val="見出し 1 (文字)"/>
    <w:basedOn w:val="10"/>
    <w:next w:val="45"/>
    <w:link w:val="1"/>
    <w:uiPriority w:val="0"/>
    <w:rPr>
      <w:rFonts w:asciiTheme="majorHAnsi" w:hAnsiTheme="majorHAnsi" w:eastAsiaTheme="majorEastAsia"/>
      <w:sz w:val="24"/>
    </w:rPr>
  </w:style>
  <w:style w:type="paragraph" w:styleId="46" w:customStyle="1">
    <w:name w:val="スタイル2"/>
    <w:basedOn w:val="1"/>
    <w:next w:val="46"/>
    <w:link w:val="47"/>
    <w:uiPriority w:val="0"/>
    <w:qFormat/>
    <w:pPr>
      <w:keepNext w:val="0"/>
      <w:jc w:val="left"/>
    </w:pPr>
    <w:rPr>
      <w:rFonts w:ascii="ＭＳ ゴシック" w:hAnsi="ＭＳ ゴシック" w:eastAsia="ＭＳ ゴシック"/>
      <w:b w:val="1"/>
    </w:rPr>
  </w:style>
  <w:style w:type="character" w:styleId="47" w:customStyle="1">
    <w:name w:val="スタイル2 (文字)"/>
    <w:next w:val="47"/>
    <w:link w:val="46"/>
    <w:uiPriority w:val="0"/>
    <w:rPr>
      <w:rFonts w:ascii="ＭＳ ゴシック" w:hAnsi="ＭＳ ゴシック" w:eastAsia="ＭＳ ゴシック"/>
      <w:b w:val="1"/>
      <w:sz w:val="24"/>
    </w:rPr>
  </w:style>
  <w:style w:type="paragraph" w:styleId="48">
    <w:name w:val="footnote text"/>
    <w:basedOn w:val="0"/>
    <w:next w:val="48"/>
    <w:link w:val="49"/>
    <w:uiPriority w:val="0"/>
    <w:semiHidden/>
    <w:pPr>
      <w:snapToGrid w:val="0"/>
      <w:jc w:val="left"/>
    </w:pPr>
  </w:style>
  <w:style w:type="character" w:styleId="49" w:customStyle="1">
    <w:name w:val="脚注文字列 (文字)"/>
    <w:basedOn w:val="10"/>
    <w:next w:val="49"/>
    <w:link w:val="48"/>
    <w:uiPriority w:val="0"/>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character" w:styleId="52">
    <w:name w:val="page number"/>
    <w:basedOn w:val="10"/>
    <w:next w:val="52"/>
    <w:link w:val="0"/>
    <w:uiPriority w:val="0"/>
  </w:style>
  <w:style w:type="table" w:styleId="53">
    <w:name w:val="Table Grid"/>
    <w:basedOn w:val="11"/>
    <w:next w:val="5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モノトーン)  21"/>
    <w:basedOn w:val="11"/>
    <w:next w:val="54"/>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2" w:space="0"/>
        <w:insideV w:val="none" w:color="auto" w:sz="2"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55" w:customStyle="1">
    <w:name w:val="表 (格子)1"/>
    <w:basedOn w:val="11"/>
    <w:next w:val="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name w:val="Light List"/>
    <w:basedOn w:val="11"/>
    <w:next w:val="56"/>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2" w:space="0"/>
        <w:insideV w:val="none" w:color="auto" w:sz="2"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311</TotalTime>
  <Pages>8</Pages>
  <Words>326</Words>
  <Characters>6648</Characters>
  <Application>JUST Note</Application>
  <Lines>960</Lines>
  <Paragraphs>223</Paragraphs>
  <CharactersWithSpaces>6649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twpc1027</cp:lastModifiedBy>
  <cp:lastPrinted>2021-06-22T05:57:00Z</cp:lastPrinted>
  <dcterms:created xsi:type="dcterms:W3CDTF">2021-06-22T01:23:00Z</dcterms:created>
  <dcterms:modified xsi:type="dcterms:W3CDTF">2025-03-10T13:45:51Z</dcterms:modified>
  <cp:revision>5</cp:revision>
</cp:coreProperties>
</file>