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様式第３号（第５条関係）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令和５年度十和田市加工・販売支援事業費補助金交付申請書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令和５年度十和田市加工・販売支援事業費補助金の交付を受けたいので、令和５年度とわだの逸品開発事業実施要綱第５条第１項の規定により、関係書類を添えて、次のとおり補助金の交付を申請します。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1100" w:firstLineChars="5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交付申請額　　金　　　　　　　　　　　　　　円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w:br w:type="page"/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事業の目的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事業計画</w:t>
      </w:r>
    </w:p>
    <w:p>
      <w:pPr>
        <w:pStyle w:val="0"/>
        <w:widowControl w:val="1"/>
        <w:ind w:firstLine="440" w:firstLineChars="2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事業内容</w:t>
      </w: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①　商品の概要</w:t>
      </w:r>
    </w:p>
    <w:tbl>
      <w:tblPr>
        <w:tblStyle w:val="11"/>
        <w:tblpPr w:leftFromText="142" w:rightFromText="142" w:topFromText="0" w:bottomFromText="0" w:vertAnchor="text" w:horzAnchor="text" w:tblpXSpec="left" w:tblpY="48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61"/>
        <w:gridCol w:w="2801"/>
        <w:gridCol w:w="4198"/>
      </w:tblGrid>
      <w:tr>
        <w:trPr>
          <w:trHeight w:val="558" w:hRule="atLeast"/>
        </w:trPr>
        <w:tc>
          <w:tcPr>
            <w:tcW w:w="20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商品名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主な原材料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商品の概要</w:t>
            </w:r>
          </w:p>
        </w:tc>
      </w:tr>
      <w:tr>
        <w:trPr>
          <w:trHeight w:val="1553" w:hRule="atLeast"/>
        </w:trPr>
        <w:tc>
          <w:tcPr>
            <w:tcW w:w="2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　欄が不足する場合は、適宜欄を追加すること。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原材料については、十和田市産のものに「（十和田市産）」と記載すること。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②　取組内容</w:t>
      </w:r>
    </w:p>
    <w:tbl>
      <w:tblPr>
        <w:tblStyle w:val="25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>
          <w:trHeight w:val="1042" w:hRule="atLeast"/>
        </w:trPr>
        <w:tc>
          <w:tcPr>
            <w:tcW w:w="918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１　試作、分析等　２　包装デザイン等の改良　３　マーケティングに関する調査研究　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４　外部専門家の招へい　５　販売イベントの開催又は出展　６　販路拡大又は宣伝広告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③　製造販売計画</w:t>
      </w:r>
    </w:p>
    <w:tbl>
      <w:tblPr>
        <w:tblStyle w:val="11"/>
        <w:tblpPr w:leftFromText="142" w:rightFromText="142" w:topFromText="0" w:bottomFromText="0" w:vertAnchor="text" w:horzAnchor="margin" w:tblpXSpec="left" w:tblpY="35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6"/>
        <w:gridCol w:w="2481"/>
        <w:gridCol w:w="1417"/>
        <w:gridCol w:w="1418"/>
        <w:gridCol w:w="1417"/>
        <w:gridCol w:w="992"/>
      </w:tblGrid>
      <w:tr>
        <w:trPr>
          <w:trHeight w:val="1262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年度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20"/>
              </w:rPr>
              <w:t>商品名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年間製造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年間販売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目標額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（千円）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利益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目標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（千円）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新規雇用計画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（人）</w:t>
            </w:r>
          </w:p>
        </w:tc>
      </w:tr>
      <w:tr>
        <w:trPr>
          <w:trHeight w:val="415" w:hRule="atLeast"/>
        </w:trPr>
        <w:tc>
          <w:tcPr>
            <w:tcW w:w="1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現状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1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令和５年度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令和６年度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令和７年度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（目標年度）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　⑴の①に掲げる商品に係る計画を記入すること。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2"/>
        </w:rPr>
        <w:t>　　⑵事業計画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91"/>
        <w:gridCol w:w="1810"/>
        <w:gridCol w:w="4918"/>
      </w:tblGrid>
      <w:tr>
        <w:trPr>
          <w:trHeight w:val="7785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事業計画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　取組内容、実施方法、必要経費、スケジュール及び他業者等の連携等できるだけ詳しく記入すること。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68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10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事業の効果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68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2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事業の一部を委託して実施する場合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委託の内容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6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委託先の事業者名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7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委託する理由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3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事業完了予定年月日</w:t>
            </w:r>
          </w:p>
        </w:tc>
        <w:tc>
          <w:tcPr>
            <w:tcW w:w="687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</w:t>
            </w:r>
          </w:p>
        </w:tc>
      </w:tr>
    </w:tbl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３　経費の配分及び負担区分　　　　　　　　　　　　　　　　　　　　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/>
          <w:color w:val="000000" w:themeColor="text1"/>
          <w:sz w:val="22"/>
        </w:rPr>
        <w:t>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81280</wp:posOffset>
                </wp:positionV>
                <wp:extent cx="6112510" cy="2934335"/>
                <wp:effectExtent l="0" t="0" r="635" b="635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12510" cy="293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159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226"/>
                              <w:gridCol w:w="1701"/>
                              <w:gridCol w:w="1417"/>
                              <w:gridCol w:w="1418"/>
                              <w:gridCol w:w="1417"/>
                              <w:gridCol w:w="980"/>
                            </w:tblGrid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226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総事業費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+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+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（Ｃ）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補助対象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経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負担区分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226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（Ａ）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自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己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負担金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（Ｂ）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（Ｃ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0" w:hRule="atLeast"/>
                              </w:trPr>
                              <w:tc>
                                <w:tcPr>
                                  <w:tcW w:w="222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注１　「その他」欄には、国、県等の補助金又は農業改良資金を利用する場合に記入すること。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２　「備考」欄には、消費税等仕入控除額について、これを減額した場合には減額した金額と、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同税額がない場合には「該当なし」と、同税額が明らかでない場合には「含税額」と記入す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6.4pt;mso-position-vertical-relative:text;mso-position-horizontal-relative:text;v-text-anchor:top;position:absolute;height:231.05pt;mso-wrap-distance-top:0pt;width:481.3pt;mso-wrap-distance-left:9pt;margin-left:1.05pt;z-index:0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159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226"/>
                        <w:gridCol w:w="1701"/>
                        <w:gridCol w:w="1417"/>
                        <w:gridCol w:w="1418"/>
                        <w:gridCol w:w="1417"/>
                        <w:gridCol w:w="980"/>
                      </w:tblGrid>
                      <w:tr>
                        <w:trPr>
                          <w:trHeight w:val="495" w:hRule="atLeast"/>
                        </w:trPr>
                        <w:tc>
                          <w:tcPr>
                            <w:tcW w:w="2226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総事業費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（Ａ）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+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（Ｂ）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+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（Ｃ）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補助対象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経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負担区分</w:t>
                            </w:r>
                          </w:p>
                        </w:tc>
                        <w:tc>
                          <w:tcPr>
                            <w:tcW w:w="98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226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市補助金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（Ａ）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自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己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負担金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（Ｂ）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（Ｃ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0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0" w:hRule="atLeast"/>
                        </w:trPr>
                        <w:tc>
                          <w:tcPr>
                            <w:tcW w:w="222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ind w:left="210" w:hanging="210" w:hangingChars="10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注１　「その他」欄には、国、県等の補助金又は農業改良資金を利用する場合に記入すること。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２　「備考」欄には、消費税等仕入控除額について、これを減額した場合には減額した金額と、</w:t>
                      </w:r>
                    </w:p>
                    <w:p>
                      <w:pPr>
                        <w:pStyle w:val="0"/>
                        <w:ind w:firstLine="420" w:firstLineChars="20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同税額がない場合には「該当なし」と、同税額が明らかでない場合には「含税額」と記入す</w:t>
                      </w:r>
                    </w:p>
                    <w:p>
                      <w:pPr>
                        <w:pStyle w:val="0"/>
                        <w:ind w:firstLine="420" w:firstLineChars="20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ること。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４　収支予算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収入の部　　　　　　　　　　　　　　　　　　　　　　　　　　　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635" b="635"/>
                <wp:wrapNone/>
                <wp:docPr id="102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444"/>
                              <w:gridCol w:w="2410"/>
                              <w:gridCol w:w="2977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44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5.75pt;mso-position-vertical-relative:text;mso-position-horizontal-relative:text;v-text-anchor:top;position:absolute;height:123.75pt;mso-wrap-distance-top:0pt;width:466.5pt;mso-wrap-distance-left:9pt;margin-left:3.35pt;z-index:0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444"/>
                        <w:gridCol w:w="2410"/>
                        <w:gridCol w:w="2977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344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344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44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⑵　支出の部　　　　　　　　　　　　　　　　　　　　　　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2"/>
        </w:rPr>
        <w:t>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32385</wp:posOffset>
                </wp:positionV>
                <wp:extent cx="5924550" cy="2165985"/>
                <wp:effectExtent l="0" t="0" r="635" b="635"/>
                <wp:wrapNone/>
                <wp:docPr id="1028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444"/>
                              <w:gridCol w:w="2410"/>
                              <w:gridCol w:w="2977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44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wrap-distance-right:9pt;mso-wrap-distance-bottom:0pt;margin-top:2.54pt;mso-position-vertical-relative:text;mso-position-horizontal-relative:text;v-text-anchor:top;position:absolute;height:170.55pt;mso-wrap-distance-top:0pt;width:466.5pt;mso-wrap-distance-left:9pt;margin-left:3.5pt;z-index:0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444"/>
                        <w:gridCol w:w="2410"/>
                        <w:gridCol w:w="2977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344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44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44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３　「備考」欄には、経費の内訳を記入すること。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0</Words>
  <Characters>868</Characters>
  <Application>JUST Note</Application>
  <Lines>2540</Lines>
  <Paragraphs>90</Paragraphs>
  <Company>十和田市役所</Company>
  <CharactersWithSpaces>1137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2021-04-02T04:11:00Z</cp:lastPrinted>
  <dcterms:created xsi:type="dcterms:W3CDTF">2023-04-03T23:38:00Z</dcterms:created>
  <dcterms:modified xsi:type="dcterms:W3CDTF">2023-04-03T23:40:44Z</dcterms:modified>
  <cp:revision>4</cp:revision>
</cp:coreProperties>
</file>