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様式第２号（第４条関係）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事業計画書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事業の目的及び必要性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事業効果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事業の内容及び経費の配分　　　　　　　　　　　　　　　　　　　　（単位：円）</w:t>
      </w:r>
    </w:p>
    <w:tbl>
      <w:tblPr>
        <w:tblStyle w:val="28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>
        <w:trPr>
          <w:trHeight w:val="397" w:hRule="atLeast"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経費算出の基礎</w:t>
            </w: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その他Ｂ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508" w:hRule="atLeast"/>
        </w:trPr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事業着手予定年月日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事業完了予定年月日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</Pages>
  <Words>0</Words>
  <Characters>112</Characters>
  <Application>JUST Note</Application>
  <Lines>192</Lines>
  <Paragraphs>17</Paragraphs>
  <Company>十和田市役所</Company>
  <CharactersWithSpaces>145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2025-04-01T07:15:54Z</cp:lastPrinted>
  <dcterms:created xsi:type="dcterms:W3CDTF">2018-06-18T06:34:00Z</dcterms:created>
  <dcterms:modified xsi:type="dcterms:W3CDTF">2025-04-25T04:39:32Z</dcterms:modified>
  <cp:revision>72</cp:revision>
</cp:coreProperties>
</file>