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utoSpaceDE w:val="off"/>
        <w:autoSpaceDN w:val="off"/>
        <w:jc w:val="center"/>
        <w:rPr>
          <w:rFonts w:ascii="ＭＳ 明朝" w:eastAsia="ＭＳ 明朝" w:hAnsi="ＭＳ 明朝"/>
          <w:color w:val="FF0000"/>
          <w:sz w:val="28"/>
          <w:szCs w:val="28"/>
        </w:rPr>
      </w:pPr>
      <w:r>
        <w:rPr>
          <w:rFonts w:ascii="ＭＳ 明朝" w:eastAsia="ＭＳ 明朝" w:hAnsi="ＭＳ 明朝" w:hint="eastAsia"/>
          <w:sz w:val="28"/>
          <w:szCs w:val="28"/>
        </w:rPr>
        <w:t>答申書</w:t>
      </w:r>
    </w:p>
    <w:p>
      <w:pPr>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r>
        <w:rPr>
          <w:rFonts w:ascii="ＭＳ 明朝" w:eastAsia="ＭＳ 明朝" w:hAnsi="ＭＳ 明朝" w:hint="eastAsia"/>
          <w:sz w:val="22"/>
        </w:rPr>
        <w:t>第１　審査会の結論</w:t>
      </w:r>
    </w:p>
    <w:p>
      <w:pPr>
        <w:ind w:leftChars="100" w:left="210" w:firstLineChars="100" w:firstLine="220"/>
        <w:autoSpaceDE w:val="off"/>
        <w:autoSpaceDN w:val="off"/>
        <w:rPr>
          <w:rFonts w:ascii="ＭＳ 明朝" w:eastAsia="ＭＳ 明朝" w:hAnsi="ＭＳ 明朝"/>
          <w:sz w:val="22"/>
        </w:rPr>
      </w:pPr>
      <w:r>
        <w:rPr>
          <w:rFonts w:ascii="ＭＳ 明朝" w:eastAsia="ＭＳ 明朝" w:hAnsi="ＭＳ 明朝" w:hint="eastAsia"/>
          <w:sz w:val="22"/>
        </w:rPr>
        <w:t>平成31年２</w:t>
      </w:r>
      <w:r>
        <w:rPr>
          <w:rFonts w:ascii="ＭＳ 明朝" w:eastAsia="ＭＳ 明朝" w:hAnsi="ＭＳ 明朝"/>
          <w:sz w:val="22"/>
        </w:rPr>
        <w:t>月</w:t>
      </w:r>
      <w:r>
        <w:rPr>
          <w:rFonts w:ascii="ＭＳ 明朝" w:eastAsia="ＭＳ 明朝" w:hAnsi="ＭＳ 明朝" w:hint="eastAsia"/>
          <w:sz w:val="22"/>
        </w:rPr>
        <w:t>20</w:t>
      </w:r>
      <w:r>
        <w:rPr>
          <w:rFonts w:ascii="ＭＳ 明朝" w:eastAsia="ＭＳ 明朝" w:hAnsi="ＭＳ 明朝"/>
          <w:sz w:val="22"/>
        </w:rPr>
        <w:t>日付けの</w:t>
      </w:r>
      <w:r>
        <w:rPr>
          <w:rFonts w:ascii="ＭＳ 明朝" w:eastAsia="ＭＳ 明朝" w:hAnsi="ＭＳ 明朝" w:hint="eastAsia"/>
          <w:sz w:val="22"/>
        </w:rPr>
        <w:t>平成30年度の固定資産税及び都市計画税の価格決定（修正）及び税額更正処分（平成26年度から平成30年度までの課税分）に対する審査請求については、行政不服審査法（平成26年法律第68号。以下「法」という。）上の審査請求の要件を欠き不適法であるから、法第45条第１項の規定により却下されるべきである。</w:t>
      </w:r>
    </w:p>
    <w:p>
      <w:pPr>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r>
        <w:rPr>
          <w:rFonts w:ascii="ＭＳ 明朝" w:eastAsia="ＭＳ 明朝" w:hAnsi="ＭＳ 明朝" w:hint="eastAsia"/>
          <w:sz w:val="22"/>
        </w:rPr>
        <w:t>第２　審査関係人の主張の要旨</w:t>
      </w:r>
    </w:p>
    <w:p>
      <w:pPr>
        <w:autoSpaceDE w:val="off"/>
        <w:autoSpaceDN w:val="off"/>
        <w:rPr>
          <w:rFonts w:ascii="ＭＳ 明朝" w:eastAsia="ＭＳ 明朝" w:hAnsi="ＭＳ 明朝"/>
          <w:sz w:val="22"/>
        </w:rPr>
      </w:pPr>
      <w:r>
        <w:rPr>
          <w:rFonts w:ascii="ＭＳ 明朝" w:eastAsia="ＭＳ 明朝" w:hAnsi="ＭＳ 明朝" w:hint="eastAsia"/>
          <w:sz w:val="22"/>
        </w:rPr>
        <w:t>　１　審査請求人の主張</w:t>
      </w:r>
    </w:p>
    <w:p>
      <w:pPr>
        <w:ind w:leftChars="200" w:left="640" w:hangingChars="100" w:hanging="220"/>
        <w:autoSpaceDE w:val="off"/>
        <w:autoSpaceDN w:val="off"/>
        <w:rPr>
          <w:rFonts w:ascii="ＭＳ 明朝" w:eastAsia="ＭＳ 明朝" w:hAnsi="ＭＳ 明朝"/>
          <w:sz w:val="22"/>
        </w:rPr>
      </w:pPr>
      <w:r>
        <w:rPr>
          <w:rFonts w:ascii="ＭＳ 明朝" w:eastAsia="ＭＳ 明朝" w:hAnsi="ＭＳ 明朝" w:hint="eastAsia"/>
          <w:sz w:val="22"/>
        </w:rPr>
        <w:t>⑴　十和田市長が審査請求人に対して送付した平成31年２月20日付けの本件価格修正及び本件税額更正の通知書には、原因や途中経過などが明記されておらず、理由などの内容が不透明である。</w:t>
      </w:r>
    </w:p>
    <w:p>
      <w:pPr>
        <w:ind w:leftChars="200" w:left="640" w:hangingChars="100" w:hanging="220"/>
        <w:autoSpaceDE w:val="off"/>
        <w:autoSpaceDN w:val="off"/>
        <w:rPr>
          <w:rFonts w:ascii="ＭＳ 明朝" w:eastAsia="ＭＳ 明朝" w:hAnsi="ＭＳ 明朝"/>
          <w:sz w:val="22"/>
        </w:rPr>
      </w:pPr>
      <w:r>
        <w:rPr>
          <w:rFonts w:ascii="ＭＳ 明朝" w:eastAsia="ＭＳ 明朝" w:hAnsi="ＭＳ 明朝" w:hint="eastAsia"/>
          <w:sz w:val="22"/>
        </w:rPr>
        <w:t>⑵　よって、当該通知書による処分は不当であり、課税標準額などの根拠を分かりやすく明確にした記載に残る説明を求める。</w:t>
      </w:r>
    </w:p>
    <w:p>
      <w:pPr>
        <w:ind w:leftChars="200" w:left="640" w:hangingChars="100" w:hanging="220"/>
        <w:autoSpaceDE w:val="off"/>
        <w:autoSpaceDN w:val="off"/>
        <w:rPr>
          <w:rFonts w:ascii="ＭＳ 明朝" w:eastAsia="ＭＳ 明朝" w:hAnsi="ＭＳ 明朝"/>
          <w:sz w:val="22"/>
        </w:rPr>
      </w:pPr>
    </w:p>
    <w:p>
      <w:pPr>
        <w:ind w:leftChars="200" w:left="640" w:hangingChars="100" w:hanging="220"/>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r>
        <w:rPr>
          <w:rFonts w:ascii="ＭＳ 明朝" w:eastAsia="ＭＳ 明朝" w:hAnsi="ＭＳ 明朝" w:hint="eastAsia"/>
          <w:sz w:val="22"/>
        </w:rPr>
        <w:t>　２　処分庁の主張</w:t>
      </w:r>
    </w:p>
    <w:p>
      <w:pPr>
        <w:ind w:leftChars="131" w:left="275"/>
        <w:autoSpaceDE w:val="off"/>
        <w:autoSpaceDN w:val="off"/>
        <w:rPr>
          <w:rFonts w:ascii="ＭＳ 明朝" w:eastAsia="ＭＳ 明朝" w:hAnsi="ＭＳ 明朝"/>
          <w:sz w:val="22"/>
        </w:rPr>
      </w:pPr>
      <w:r>
        <w:rPr>
          <w:rFonts w:ascii="ＭＳ 明朝" w:eastAsia="ＭＳ 明朝" w:hAnsi="ＭＳ 明朝" w:hint="eastAsia"/>
          <w:sz w:val="22"/>
        </w:rPr>
        <w:t>　審査請求人には、本件価格修正及び本件税額更正について、７回にわたり書面により説明を行っているうえ、固定資産の評価並びに固定資産税及び都市計画税の税額の算出は、地方税法、固定資産評価基準、固定資産（土地）評価事務取扱要領、十和田市税条例（平成17年十和田市条例第56号）及び十和田市都市計画税条例（平成17年十和田市条例第61号）に基づいて行われているから、審査請求人に対する本件価格修正及び本件税額更正には、違法又は不当な点は存在しない。</w:t>
      </w:r>
    </w:p>
    <w:p>
      <w:pPr>
        <w:ind w:left="660" w:hangingChars="300" w:hanging="660"/>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r>
        <w:rPr>
          <w:rFonts w:ascii="ＭＳ 明朝" w:eastAsia="ＭＳ 明朝" w:hAnsi="ＭＳ 明朝" w:hint="eastAsia"/>
          <w:sz w:val="22"/>
        </w:rPr>
        <w:t>第３　審理員意見書の要旨</w:t>
      </w:r>
    </w:p>
    <w:p>
      <w:pPr>
        <w:ind w:left="220" w:hangingChars="100" w:hanging="220"/>
        <w:autoSpaceDE w:val="off"/>
        <w:autoSpaceDN w:val="off"/>
        <w:rPr>
          <w:rFonts w:ascii="ＭＳ 明朝" w:eastAsia="ＭＳ 明朝" w:hAnsi="ＭＳ 明朝"/>
          <w:sz w:val="22"/>
        </w:rPr>
      </w:pPr>
      <w:r>
        <w:rPr>
          <w:rFonts w:ascii="ＭＳ 明朝" w:eastAsia="ＭＳ 明朝" w:hAnsi="ＭＳ 明朝" w:hint="eastAsia"/>
          <w:sz w:val="22"/>
        </w:rPr>
        <w:t>　　行政不服審査法上、審査請求の対象は、行政庁の処分すなわち「行政庁の処分その他の公権力の行使に当たる行為」（同法第１条第２項）とされている。</w:t>
      </w:r>
    </w:p>
    <w:p>
      <w:pPr>
        <w:ind w:left="220" w:hangingChars="100" w:hanging="220"/>
        <w:autoSpaceDE w:val="off"/>
        <w:autoSpaceDN w:val="off"/>
        <w:rPr>
          <w:rFonts w:ascii="ＭＳ 明朝" w:eastAsia="ＭＳ 明朝" w:hAnsi="ＭＳ 明朝"/>
          <w:sz w:val="22"/>
        </w:rPr>
      </w:pPr>
      <w:r>
        <w:rPr>
          <w:rFonts w:ascii="ＭＳ 明朝" w:eastAsia="ＭＳ 明朝" w:hAnsi="ＭＳ 明朝" w:hint="eastAsia"/>
          <w:sz w:val="22"/>
        </w:rPr>
        <w:t>　　行政庁の処分の意義について、判例では「行政庁の処分とは、所論のごとく行政庁の法令に基づく行為のすべてを意味するものではなく、公権力の主体たる国または公共団体が行う行為のうち、その行為によって、直接国民の権利義務を形成しまたはその範囲を確定することが法律上認められているもの」であることが示されている（最高裁判所第一小法廷昭和</w:t>
      </w:r>
      <w:r>
        <w:rPr>
          <w:rFonts w:ascii="ＭＳ 明朝" w:eastAsia="ＭＳ 明朝" w:hAnsi="ＭＳ 明朝"/>
          <w:sz w:val="22"/>
        </w:rPr>
        <w:t>39年10月29日判決）。</w:t>
      </w:r>
    </w:p>
    <w:p>
      <w:pPr>
        <w:ind w:left="220" w:hangingChars="100" w:hanging="220"/>
        <w:autoSpaceDE w:val="off"/>
        <w:autoSpaceDN w:val="off"/>
        <w:rPr>
          <w:rFonts w:ascii="ＭＳ 明朝" w:eastAsia="ＭＳ 明朝" w:hAnsi="ＭＳ 明朝"/>
          <w:sz w:val="22"/>
        </w:rPr>
      </w:pPr>
      <w:r>
        <w:rPr>
          <w:rFonts w:ascii="ＭＳ 明朝" w:eastAsia="ＭＳ 明朝" w:hAnsi="ＭＳ 明朝" w:hint="eastAsia"/>
          <w:sz w:val="22"/>
        </w:rPr>
        <w:t>　　本件審査請求において審査請求人が求める「記載に残る説明」は、審査請求人の権利義務を形成しまたはその範囲を確定するものでもなければ、法律上認められているものでもないから、行政庁の処分その他公権力の行使に当たる行為には該当しない。</w:t>
      </w:r>
    </w:p>
    <w:p>
      <w:pPr>
        <w:ind w:left="220" w:hangingChars="100" w:hanging="220"/>
        <w:autoSpaceDE w:val="off"/>
        <w:autoSpaceDN w:val="off"/>
        <w:rPr>
          <w:rFonts w:ascii="ＭＳ 明朝" w:eastAsia="ＭＳ 明朝" w:hAnsi="ＭＳ 明朝"/>
          <w:sz w:val="22"/>
        </w:rPr>
      </w:pPr>
      <w:r>
        <w:rPr>
          <w:rFonts w:ascii="ＭＳ 明朝" w:eastAsia="ＭＳ 明朝" w:hAnsi="ＭＳ 明朝" w:hint="eastAsia"/>
          <w:sz w:val="22"/>
        </w:rPr>
        <w:t>　　すなわち、行政庁の処分その他公権力の行使に当たる行為には該当しない。したがって、本件審査請求は却下されるべきである。</w:t>
      </w:r>
    </w:p>
    <w:p>
      <w:pPr>
        <w:ind w:left="220" w:hangingChars="100" w:hanging="220"/>
        <w:autoSpaceDE w:val="off"/>
        <w:autoSpaceDN w:val="off"/>
        <w:rPr>
          <w:rFonts w:ascii="ＭＳ 明朝" w:eastAsia="ＭＳ 明朝" w:hAnsi="ＭＳ 明朝"/>
          <w:sz w:val="22"/>
        </w:rPr>
      </w:pPr>
    </w:p>
    <w:p>
      <w:pPr>
        <w:ind w:left="220" w:hangingChars="100" w:hanging="220"/>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r>
        <w:rPr>
          <w:rFonts w:ascii="ＭＳ 明朝" w:eastAsia="ＭＳ 明朝" w:hAnsi="ＭＳ 明朝" w:hint="eastAsia"/>
          <w:sz w:val="22"/>
        </w:rPr>
        <w:t>第４　調査審議の経過</w:t>
      </w:r>
    </w:p>
    <w:p>
      <w:pPr>
        <w:autoSpaceDE w:val="off"/>
        <w:autoSpaceDN w:val="off"/>
        <w:rPr>
          <w:rFonts w:ascii="ＭＳ 明朝" w:eastAsia="ＭＳ 明朝" w:hAnsi="ＭＳ 明朝"/>
          <w:sz w:val="22"/>
        </w:rPr>
      </w:pPr>
      <w:r>
        <w:rPr>
          <w:rFonts w:ascii="ＭＳ 明朝" w:eastAsia="ＭＳ 明朝" w:hAnsi="ＭＳ 明朝" w:hint="eastAsia"/>
          <w:sz w:val="22"/>
        </w:rPr>
        <w:t>　令和３年３月31日　諮問書の受理</w:t>
      </w:r>
    </w:p>
    <w:p>
      <w:pPr>
        <w:autoSpaceDE w:val="off"/>
        <w:autoSpaceDN w:val="off"/>
        <w:rPr>
          <w:rFonts w:ascii="ＭＳ 明朝" w:eastAsia="ＭＳ 明朝" w:hAnsi="ＭＳ 明朝"/>
          <w:sz w:val="22"/>
        </w:rPr>
      </w:pPr>
      <w:r>
        <w:rPr>
          <w:rFonts w:ascii="ＭＳ 明朝" w:eastAsia="ＭＳ 明朝" w:hAnsi="ＭＳ 明朝" w:hint="eastAsia"/>
          <w:sz w:val="22"/>
        </w:rPr>
        <w:t>　令和３年12月24日　第１回調査審議</w:t>
      </w:r>
    </w:p>
    <w:p>
      <w:pPr>
        <w:ind w:firstLineChars="100" w:firstLine="220"/>
        <w:autoSpaceDE w:val="off"/>
        <w:autoSpaceDN w:val="off"/>
        <w:rPr>
          <w:rFonts w:ascii="ＭＳ 明朝" w:eastAsia="ＭＳ 明朝" w:hAnsi="ＭＳ 明朝"/>
          <w:sz w:val="22"/>
        </w:rPr>
      </w:pPr>
      <w:r>
        <w:rPr>
          <w:rFonts w:ascii="ＭＳ 明朝" w:eastAsia="ＭＳ 明朝" w:hAnsi="ＭＳ 明朝" w:hint="eastAsia"/>
          <w:sz w:val="22"/>
        </w:rPr>
        <w:t>令和４年２月15日　第２回調査審議</w:t>
      </w:r>
    </w:p>
    <w:p>
      <w:pPr>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p>
    <w:p>
      <w:pPr>
        <w:autoSpaceDE w:val="off"/>
        <w:autoSpaceDN w:val="off"/>
        <w:rPr>
          <w:rFonts w:ascii="ＭＳ 明朝" w:eastAsia="ＭＳ 明朝" w:hAnsi="ＭＳ 明朝"/>
          <w:sz w:val="22"/>
        </w:rPr>
      </w:pPr>
      <w:r>
        <w:rPr>
          <w:rFonts w:ascii="ＭＳ 明朝" w:eastAsia="ＭＳ 明朝" w:hAnsi="ＭＳ 明朝" w:hint="eastAsia"/>
          <w:sz w:val="22"/>
        </w:rPr>
        <w:t>第５　審査会の判断の理由</w:t>
      </w:r>
    </w:p>
    <w:p>
      <w:pPr>
        <w:ind w:leftChars="200" w:left="420"/>
        <w:autoSpaceDE w:val="off"/>
        <w:autoSpaceDN w:val="off"/>
        <w:rPr>
          <w:rFonts w:ascii="ＭＳ 明朝" w:eastAsia="ＭＳ 明朝" w:hAnsi="ＭＳ 明朝"/>
          <w:sz w:val="22"/>
        </w:rPr>
      </w:pPr>
      <w:r>
        <w:rPr>
          <w:rFonts w:ascii="ＭＳ 明朝" w:eastAsia="ＭＳ 明朝" w:hAnsi="ＭＳ 明朝" w:hint="eastAsia"/>
          <w:sz w:val="22"/>
        </w:rPr>
        <w:t>行政不服審査法上、審査請求の対象は、行政庁の処分すなわち「行政庁の処分その</w:t>
      </w:r>
    </w:p>
    <w:p>
      <w:pPr>
        <w:ind w:leftChars="100" w:left="210"/>
        <w:autoSpaceDE w:val="off"/>
        <w:autoSpaceDN w:val="off"/>
        <w:rPr>
          <w:rFonts w:ascii="ＭＳ 明朝" w:eastAsia="ＭＳ 明朝" w:hAnsi="ＭＳ 明朝"/>
          <w:sz w:val="22"/>
        </w:rPr>
      </w:pPr>
      <w:r>
        <w:rPr>
          <w:rFonts w:ascii="ＭＳ 明朝" w:eastAsia="ＭＳ 明朝" w:hAnsi="ＭＳ 明朝" w:hint="eastAsia"/>
          <w:sz w:val="22"/>
        </w:rPr>
        <w:t>他の公権力の行使に当たる行為」（同法第１条第２項）とされている。行政庁の処分の意義について、大田区ゴミ焼却場事件（最判昭和39.10.29民集18巻８号1809頁</w:t>
      </w:r>
      <w:r>
        <w:rPr>
          <w:rFonts w:ascii="ＭＳ 明朝" w:eastAsia="ＭＳ 明朝" w:hAnsi="ＭＳ 明朝"/>
          <w:sz w:val="22"/>
        </w:rPr>
        <w:t>）</w:t>
      </w:r>
      <w:r>
        <w:rPr>
          <w:rFonts w:ascii="ＭＳ 明朝" w:eastAsia="ＭＳ 明朝" w:hAnsi="ＭＳ 明朝" w:hint="eastAsia"/>
          <w:sz w:val="22"/>
        </w:rPr>
        <w:t>では、「行政庁の処分とは、所論のごとく行政庁の法令に基づく行為のすべてを意味するものではなく、公権力の主体たる国または公共団体が行う行為のうち、その行為によって、直接国民の権利義務を形成しまたはその範囲を確定することが法律上認められているもの」という基準を示している</w:t>
      </w:r>
      <w:r>
        <w:rPr>
          <w:rFonts w:ascii="ＭＳ 明朝" w:eastAsia="ＭＳ 明朝" w:hAnsi="ＭＳ 明朝"/>
          <w:sz w:val="22"/>
        </w:rPr>
        <w:t>。</w:t>
      </w:r>
    </w:p>
    <w:p>
      <w:pPr>
        <w:ind w:leftChars="200" w:left="420"/>
        <w:autoSpaceDE w:val="off"/>
        <w:autoSpaceDN w:val="off"/>
        <w:rPr>
          <w:rFonts w:ascii="ＭＳ 明朝" w:eastAsia="ＭＳ 明朝" w:hAnsi="ＭＳ 明朝"/>
          <w:sz w:val="22"/>
        </w:rPr>
      </w:pPr>
      <w:r>
        <w:rPr>
          <w:rFonts w:ascii="ＭＳ 明朝" w:eastAsia="ＭＳ 明朝" w:hAnsi="ＭＳ 明朝" w:hint="eastAsia"/>
          <w:sz w:val="22"/>
        </w:rPr>
        <w:t>本件審査請求において審査請求人が求める「記載に残る説明」は、そもそも行政に</w:t>
      </w:r>
    </w:p>
    <w:p>
      <w:pPr>
        <w:ind w:leftChars="100" w:left="210"/>
        <w:autoSpaceDE w:val="off"/>
        <w:autoSpaceDN w:val="off"/>
        <w:rPr>
          <w:rFonts w:ascii="ＭＳ 明朝" w:eastAsia="ＭＳ 明朝" w:hAnsi="ＭＳ 明朝"/>
          <w:sz w:val="22"/>
        </w:rPr>
      </w:pPr>
      <w:r>
        <w:rPr>
          <w:rFonts w:ascii="ＭＳ 明朝" w:eastAsia="ＭＳ 明朝" w:hAnsi="ＭＳ 明朝" w:hint="eastAsia"/>
          <w:sz w:val="22"/>
        </w:rPr>
        <w:t>おいて対応すべき法令上の根拠を欠くうえ、「説明」によって審査請求人の権利義務を形成しまたはその範囲を確定することが法律上認められているものではないことから、最高裁の示した基準「行政庁の処分その他公権力の行使に当たる行為」には該当しない。</w:t>
      </w:r>
    </w:p>
    <w:p>
      <w:pPr>
        <w:ind w:leftChars="100" w:left="210"/>
        <w:autoSpaceDE w:val="off"/>
        <w:autoSpaceDN w:val="off"/>
        <w:rPr>
          <w:rFonts w:ascii="ＭＳ 明朝" w:eastAsia="ＭＳ 明朝" w:hAnsi="ＭＳ 明朝"/>
          <w:sz w:val="22"/>
        </w:rPr>
      </w:pPr>
      <w:r>
        <w:rPr>
          <w:rFonts w:ascii="ＭＳ 明朝" w:eastAsia="ＭＳ 明朝" w:hAnsi="ＭＳ 明朝" w:hint="eastAsia"/>
          <w:sz w:val="22"/>
        </w:rPr>
        <w:t>　また、行政不服審査手続とは、上述した「行政庁の処分」に関する不服申立てである。すなわち、既になされた行政庁の処分に関して違法ないし不当な点があるとして行われる不服申立てである。審査請求人による請求内容は、過去に行われた行政庁の処分に対して「記載に残る説明」という作為を求めるものであって、この意味においても、審査請求の対象足り得ない。</w:t>
      </w:r>
    </w:p>
    <w:p>
      <w:pPr>
        <w:ind w:leftChars="100" w:left="210"/>
        <w:autoSpaceDE w:val="off"/>
        <w:autoSpaceDN w:val="off"/>
        <w:rPr>
          <w:rFonts w:ascii="ＭＳ 明朝" w:eastAsia="ＭＳ 明朝" w:hAnsi="ＭＳ 明朝"/>
          <w:sz w:val="22"/>
        </w:rPr>
      </w:pPr>
      <w:r>
        <w:rPr>
          <w:rFonts w:ascii="ＭＳ 明朝" w:eastAsia="ＭＳ 明朝" w:hAnsi="ＭＳ 明朝" w:hint="eastAsia"/>
          <w:sz w:val="22"/>
        </w:rPr>
        <w:t>　よって、本審査会は「第１　審査会の結論」のとおり答申する。</w:t>
      </w:r>
    </w:p>
    <w:p>
      <w:pPr>
        <w:autoSpaceDE w:val="off"/>
        <w:autoSpaceDN w:val="off"/>
        <w:rPr>
          <w:rFonts w:ascii="ＭＳ 明朝" w:eastAsia="ＭＳ 明朝" w:hAnsi="ＭＳ 明朝"/>
          <w:sz w:val="22"/>
        </w:rPr>
      </w:pPr>
      <w:r>
        <w:rPr>
          <w:rFonts w:ascii="ＭＳ 明朝" w:eastAsia="ＭＳ 明朝" w:hAnsi="ＭＳ 明朝" w:hint="eastAsia"/>
          <w:sz w:val="22"/>
        </w:rPr>
        <w:t>　　令和４年２月28日</w:t>
      </w:r>
    </w:p>
    <w:p>
      <w:pPr>
        <w:ind w:leftChars="2600" w:left="5460"/>
        <w:autoSpaceDE w:val="off"/>
        <w:autoSpaceDN w:val="off"/>
        <w:rPr>
          <w:rFonts w:ascii="ＭＳ 明朝" w:eastAsia="ＭＳ 明朝" w:hAnsi="ＭＳ 明朝"/>
          <w:sz w:val="22"/>
        </w:rPr>
      </w:pPr>
    </w:p>
    <w:p>
      <w:pPr>
        <w:ind w:leftChars="2600" w:left="5460"/>
        <w:autoSpaceDE w:val="off"/>
        <w:autoSpaceDN w:val="off"/>
        <w:rPr>
          <w:rFonts w:ascii="ＭＳ 明朝" w:eastAsia="ＭＳ 明朝" w:hAnsi="ＭＳ 明朝"/>
          <w:sz w:val="22"/>
        </w:rPr>
      </w:pPr>
      <w:r>
        <w:rPr>
          <w:rFonts w:ascii="ＭＳ 明朝" w:eastAsia="ＭＳ 明朝" w:hAnsi="ＭＳ 明朝" w:hint="eastAsia"/>
          <w:sz w:val="22"/>
        </w:rPr>
        <w:t>十和田市行政不服審査会</w:t>
      </w:r>
    </w:p>
    <w:p>
      <w:pPr>
        <w:ind w:leftChars="2700" w:left="5670"/>
        <w:autoSpaceDE w:val="off"/>
        <w:autoSpaceDN w:val="off"/>
        <w:rPr>
          <w:rFonts w:ascii="ＭＳ 明朝" w:eastAsia="ＭＳ 明朝" w:hAnsi="ＭＳ 明朝"/>
          <w:sz w:val="22"/>
        </w:rPr>
      </w:pPr>
      <w:r>
        <w:rPr>
          <w:rFonts w:ascii="ＭＳ 明朝" w:eastAsia="ＭＳ 明朝" w:hAnsi="ＭＳ 明朝" w:hint="eastAsia"/>
          <w:sz w:val="22"/>
        </w:rPr>
        <w:t>会長　花　生　耕　子</w:t>
      </w:r>
    </w:p>
    <w:p>
      <w:pPr>
        <w:ind w:leftChars="2700" w:left="5670"/>
        <w:autoSpaceDE w:val="off"/>
        <w:autoSpaceDN w:val="off"/>
        <w:rPr>
          <w:rFonts w:ascii="ＭＳ 明朝" w:eastAsia="ＭＳ 明朝" w:hAnsi="ＭＳ 明朝"/>
          <w:sz w:val="22"/>
        </w:rPr>
      </w:pPr>
      <w:r>
        <w:rPr>
          <w:rFonts w:ascii="ＭＳ 明朝" w:eastAsia="ＭＳ 明朝" w:hAnsi="ＭＳ 明朝" w:hint="eastAsia"/>
          <w:sz w:val="22"/>
        </w:rPr>
        <w:t>委員　戸　来　　亮　</w:t>
      </w:r>
    </w:p>
    <w:p>
      <w:pPr>
        <w:ind w:leftChars="2700" w:left="5670"/>
        <w:autoSpaceDE w:val="off"/>
        <w:autoSpaceDN w:val="off"/>
        <w:rPr>
          <w:rFonts w:ascii="ＭＳ 明朝" w:eastAsia="ＭＳ 明朝" w:hAnsi="ＭＳ 明朝"/>
          <w:sz w:val="22"/>
        </w:rPr>
      </w:pPr>
      <w:r>
        <w:rPr>
          <w:rFonts w:ascii="ＭＳ 明朝" w:eastAsia="ＭＳ 明朝" w:hAnsi="ＭＳ 明朝" w:hint="eastAsia"/>
          <w:sz w:val="22"/>
        </w:rPr>
        <w:t>委員　中　居　雅　俊</w:t>
      </w:r>
    </w:p>
    <w:sectPr>
      <w:pgSz w:w="11906" w:h="16838"/>
      <w:pgMar w:top="1985" w:right="1701" w:bottom="1701" w:left="1701" w:header="851" w:footer="992" w:gutter="0"/>
      <w:cols/>
      <w:docGrid w:linePitch="360" w:type="lines"/>
      <w:footerReference w:type="default" r:id="rId1"/>
      <w:footerReference w:type="first" r:id="rId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3</w:t>
        </w:r>
        <w:r>
          <w:fldChar w:fldCharType="end"/>
        </w:r>
      </w:p>
    </w:sdtContent>
  </w:sdt>
  <w:p>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1</w:t>
        </w:r>
        <w:r>
          <w:fldChar w:fldCharType="end"/>
        </w:r>
      </w:p>
    </w:sdtContent>
  </w:sdt>
  <w:p>
    <w:pPr>
      <w:pStyle w:val="af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6"/>
  <w:removePersonalInformation/>
  <w:bordersDontSurroundHeader/>
  <w:bordersDontSurroundFooter/>
  <w:hideGrammaticalErrors/>
  <w:proofState w:spelling="clean" w:grammar="clean"/>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c">
    <w:name w:val="フッター (文字)"/>
    <w:basedOn w:val="a2"/>
    <w:link w:val="footer"/>
  </w:style>
  <w:style w:type="paragraph" w:styleId="afb">
    <w:name w:val="footer"/>
    <w:basedOn w:val="a1"/>
    <w:link w:val="フッター (文字)"/>
    <w:unhideWhenUsed/>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footer" Target="foot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twnt010</cp:lastModifiedBy>
  <cp:revision>1</cp:revision>
  <dcterms:created xsi:type="dcterms:W3CDTF">2022-02-10T02:35:00Z</dcterms:created>
  <dcterms:modified xsi:type="dcterms:W3CDTF">2022-03-04T04:35:22Z</dcterms:modified>
  <cp:lastPrinted>2022-02-14T00:49:00Z</cp:lastPrinted>
  <cp:version>0900.0100.01</cp:version>
</cp:coreProperties>
</file>